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A" w:rsidRPr="00FC637F" w:rsidRDefault="00152F8A" w:rsidP="006135B9">
      <w:pPr>
        <w:suppressAutoHyphens/>
        <w:jc w:val="center"/>
        <w:rPr>
          <w:sz w:val="28"/>
          <w:szCs w:val="28"/>
          <w:lang w:eastAsia="ar-SA"/>
        </w:rPr>
      </w:pPr>
      <w:r w:rsidRPr="00FC637F">
        <w:rPr>
          <w:sz w:val="28"/>
          <w:szCs w:val="28"/>
          <w:lang w:eastAsia="ar-SA"/>
        </w:rPr>
        <w:t>Информация</w:t>
      </w:r>
    </w:p>
    <w:p w:rsidR="00152F8A" w:rsidRPr="00FC637F" w:rsidRDefault="00152F8A" w:rsidP="006135B9">
      <w:pPr>
        <w:suppressAutoHyphens/>
        <w:jc w:val="center"/>
        <w:rPr>
          <w:sz w:val="28"/>
          <w:szCs w:val="28"/>
          <w:lang w:eastAsia="ar-SA"/>
        </w:rPr>
      </w:pPr>
      <w:r w:rsidRPr="00FC637F">
        <w:rPr>
          <w:sz w:val="28"/>
          <w:szCs w:val="28"/>
          <w:lang w:eastAsia="ar-SA"/>
        </w:rPr>
        <w:t>о реализации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</w:t>
      </w:r>
    </w:p>
    <w:p w:rsidR="00440A1E" w:rsidRPr="00FC637F" w:rsidRDefault="00440A1E" w:rsidP="00FC637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4BEC" w:rsidRDefault="00C94BEC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  <w:lang w:bidi="ru-RU"/>
        </w:rPr>
      </w:pPr>
      <w:proofErr w:type="gramStart"/>
      <w:r w:rsidRPr="00FC637F">
        <w:rPr>
          <w:sz w:val="28"/>
          <w:szCs w:val="28"/>
          <w:lang w:bidi="ru-RU"/>
        </w:rPr>
        <w:t>В соответствии с пунктом  3  Указа  Президента Российской Федерации от 7 мая 2012 года № 606 «О мерах по реализации демографической политики Российской Федерации» Минтруд</w:t>
      </w:r>
      <w:r w:rsidR="002A4A8D">
        <w:rPr>
          <w:sz w:val="28"/>
          <w:szCs w:val="28"/>
          <w:lang w:bidi="ru-RU"/>
        </w:rPr>
        <w:t xml:space="preserve">  Республики  Тыва </w:t>
      </w:r>
      <w:r w:rsidRPr="00FC637F">
        <w:rPr>
          <w:sz w:val="28"/>
          <w:szCs w:val="28"/>
          <w:lang w:bidi="ru-RU"/>
        </w:rPr>
        <w:t xml:space="preserve"> ведет работу по принятию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</w:t>
      </w:r>
      <w:proofErr w:type="gramEnd"/>
      <w:r w:rsidRPr="00FC637F">
        <w:rPr>
          <w:sz w:val="28"/>
          <w:szCs w:val="28"/>
          <w:lang w:bidi="ru-RU"/>
        </w:rPr>
        <w:t xml:space="preserve"> до достижения им возраста трех лет.</w:t>
      </w:r>
    </w:p>
    <w:p w:rsidR="009C1D2A" w:rsidRDefault="009C1D2A" w:rsidP="009C1D2A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проводилось </w:t>
      </w:r>
      <w:r w:rsidRPr="00984299">
        <w:rPr>
          <w:sz w:val="28"/>
          <w:szCs w:val="28"/>
        </w:rPr>
        <w:t>в учебных заведениях Республики Тыва</w:t>
      </w:r>
      <w:r w:rsidRPr="00984299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Pr="00984299">
        <w:rPr>
          <w:sz w:val="28"/>
          <w:szCs w:val="28"/>
        </w:rPr>
        <w:t>ФГОУ</w:t>
      </w:r>
      <w:proofErr w:type="spellEnd"/>
      <w:r w:rsidRPr="00984299">
        <w:rPr>
          <w:sz w:val="28"/>
          <w:szCs w:val="28"/>
        </w:rPr>
        <w:t xml:space="preserve"> </w:t>
      </w:r>
      <w:proofErr w:type="spellStart"/>
      <w:r w:rsidRPr="00984299">
        <w:rPr>
          <w:sz w:val="28"/>
          <w:szCs w:val="28"/>
        </w:rPr>
        <w:t>ВПО</w:t>
      </w:r>
      <w:proofErr w:type="spellEnd"/>
      <w:r w:rsidRPr="00984299">
        <w:rPr>
          <w:sz w:val="28"/>
          <w:szCs w:val="28"/>
        </w:rPr>
        <w:t xml:space="preserve"> «Тувинский государственный университет», АОУ ДПО «Тувинский государственный институт переподготовки и повышения квалификации кадров Министерства образования и науки Республики Тыва, ГБОУ СПО «Кызылский транспортный техникум», ГБОУ СПО «Тувинский сельскохозяйственный техникум», ГБОУ СПО «Тувинский техникум предпринимательства», НОУ  СПО «Кызылский техникум экономики и права» и ЧОУ «Учебный центр», ФГБОУ ВПО «Хакасский государственный университет им. Н.Ф. Катанова» Алтайский государственный медицинский университет</w:t>
      </w:r>
      <w:proofErr w:type="gramEnd"/>
      <w:r w:rsidRPr="00984299">
        <w:rPr>
          <w:sz w:val="28"/>
          <w:szCs w:val="28"/>
        </w:rPr>
        <w:t xml:space="preserve"> и т.д. </w:t>
      </w:r>
    </w:p>
    <w:p w:rsidR="00984299" w:rsidRDefault="009C1D2A" w:rsidP="009C1D2A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984299">
        <w:rPr>
          <w:sz w:val="28"/>
          <w:szCs w:val="28"/>
        </w:rPr>
        <w:t>Профессиональная переподготовка и повышение квалификации осуществлялось по следующим профессиям (специальностям): «1</w:t>
      </w:r>
      <w:proofErr w:type="gramStart"/>
      <w:r w:rsidRPr="00984299">
        <w:rPr>
          <w:sz w:val="28"/>
          <w:szCs w:val="28"/>
        </w:rPr>
        <w:t xml:space="preserve"> С</w:t>
      </w:r>
      <w:proofErr w:type="gramEnd"/>
      <w:r w:rsidRPr="00984299">
        <w:rPr>
          <w:sz w:val="28"/>
          <w:szCs w:val="28"/>
        </w:rPr>
        <w:t xml:space="preserve"> – Бухгалтерия»  для бюджетных организаций, «1 С: зарплата и кадры», «Секретарь-делопроизводитель», «Пользователь ЭВМ», «Массажист», повар, современная методика преподавания русского языка и литературы с использованием электронных систем, современная технология управления персоналом для муниципальных и государственных служащих, возможность использования ИКТ в преподавании биологии, системные изменения основной школе от цели до нового результата образования и </w:t>
      </w:r>
      <w:proofErr w:type="spellStart"/>
      <w:r w:rsidRPr="00984299">
        <w:rPr>
          <w:sz w:val="28"/>
          <w:szCs w:val="28"/>
        </w:rPr>
        <w:t>др</w:t>
      </w:r>
      <w:proofErr w:type="gramStart"/>
      <w:r w:rsidRPr="00984299">
        <w:rPr>
          <w:sz w:val="28"/>
          <w:szCs w:val="28"/>
        </w:rPr>
        <w:t>.</w:t>
      </w:r>
      <w:r w:rsidR="00984299">
        <w:rPr>
          <w:sz w:val="28"/>
          <w:szCs w:val="28"/>
          <w:lang w:bidi="ru-RU"/>
        </w:rPr>
        <w:t>В</w:t>
      </w:r>
      <w:proofErr w:type="spellEnd"/>
      <w:proofErr w:type="gramEnd"/>
      <w:r w:rsidR="00984299">
        <w:rPr>
          <w:sz w:val="28"/>
          <w:szCs w:val="28"/>
          <w:lang w:bidi="ru-RU"/>
        </w:rPr>
        <w:t xml:space="preserve"> 2012-2013 годах меры по обучению женщин проводились в</w:t>
      </w:r>
      <w:r w:rsidR="00984299" w:rsidRPr="00984299">
        <w:rPr>
          <w:sz w:val="28"/>
          <w:szCs w:val="28"/>
        </w:rPr>
        <w:t xml:space="preserve"> рамках ведомственной целевой программы «Содействия занятости населения Республики Тыва на 2013-2015 годы». </w:t>
      </w:r>
    </w:p>
    <w:p w:rsidR="009C1D2A" w:rsidRPr="00984299" w:rsidRDefault="00984299" w:rsidP="009C1D2A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984299">
        <w:rPr>
          <w:sz w:val="28"/>
          <w:szCs w:val="28"/>
        </w:rPr>
        <w:t xml:space="preserve">Численность женщин, направленных на профессиональное обучение </w:t>
      </w:r>
      <w:r>
        <w:rPr>
          <w:sz w:val="28"/>
          <w:szCs w:val="28"/>
        </w:rPr>
        <w:t>в</w:t>
      </w:r>
      <w:r w:rsidRPr="00984299">
        <w:rPr>
          <w:sz w:val="28"/>
          <w:szCs w:val="28"/>
        </w:rPr>
        <w:t xml:space="preserve"> </w:t>
      </w:r>
      <w:r w:rsidRPr="00984299">
        <w:rPr>
          <w:b/>
          <w:sz w:val="28"/>
          <w:szCs w:val="28"/>
        </w:rPr>
        <w:t>2012 году</w:t>
      </w:r>
      <w:r w:rsidRPr="00984299">
        <w:rPr>
          <w:sz w:val="28"/>
          <w:szCs w:val="28"/>
        </w:rPr>
        <w:t>, составила 80 человек или 100 %  планового показателя.</w:t>
      </w:r>
    </w:p>
    <w:p w:rsidR="00984299" w:rsidRPr="00984299" w:rsidRDefault="00984299" w:rsidP="0098429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984299">
        <w:rPr>
          <w:sz w:val="28"/>
          <w:szCs w:val="28"/>
        </w:rPr>
        <w:t xml:space="preserve">  Средняя стоимость профессиональной переподготовки женщин составила 7271 руб. на одного человека.</w:t>
      </w:r>
      <w:r>
        <w:rPr>
          <w:sz w:val="28"/>
          <w:szCs w:val="28"/>
        </w:rPr>
        <w:t xml:space="preserve"> </w:t>
      </w:r>
      <w:r w:rsidRPr="00984299">
        <w:rPr>
          <w:sz w:val="28"/>
          <w:szCs w:val="28"/>
        </w:rPr>
        <w:t>Финансирование профессионального обучения работников осуществлялось центрами занятости населения за счет средств республиканского бюджета. Всего на эти цели направлено 581,7 тыс. рублей.</w:t>
      </w:r>
    </w:p>
    <w:p w:rsidR="00FC637F" w:rsidRDefault="00984299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2014 – 2017 годы  меры по обучению женщин </w:t>
      </w:r>
      <w:r w:rsidR="00C94BEC" w:rsidRPr="00FC637F">
        <w:rPr>
          <w:sz w:val="28"/>
          <w:szCs w:val="28"/>
          <w:lang w:bidi="ru-RU"/>
        </w:rPr>
        <w:t xml:space="preserve">проводились </w:t>
      </w:r>
      <w:r w:rsidR="00152F8A" w:rsidRPr="00FC637F">
        <w:rPr>
          <w:sz w:val="28"/>
          <w:szCs w:val="28"/>
          <w:lang w:bidi="ru-RU"/>
        </w:rPr>
        <w:t xml:space="preserve">в рамках государственной программы «Труд и занятость в Республике Тыва. </w:t>
      </w:r>
    </w:p>
    <w:p w:rsidR="00FC637F" w:rsidRDefault="00510161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6135B9">
        <w:rPr>
          <w:b/>
          <w:color w:val="000000"/>
          <w:sz w:val="28"/>
          <w:szCs w:val="28"/>
        </w:rPr>
        <w:t>В 2013 году</w:t>
      </w:r>
      <w:r w:rsidRPr="00FC637F">
        <w:rPr>
          <w:color w:val="000000"/>
          <w:sz w:val="28"/>
          <w:szCs w:val="28"/>
        </w:rPr>
        <w:t xml:space="preserve"> органами занятости населения на профессиональное обучение направлено </w:t>
      </w:r>
      <w:r w:rsidRPr="00FC637F">
        <w:rPr>
          <w:b/>
          <w:color w:val="000000"/>
          <w:sz w:val="28"/>
          <w:szCs w:val="28"/>
        </w:rPr>
        <w:t>70 женщин</w:t>
      </w:r>
      <w:r w:rsidRPr="00FC637F">
        <w:rPr>
          <w:color w:val="000000"/>
          <w:sz w:val="28"/>
          <w:szCs w:val="28"/>
        </w:rPr>
        <w:t xml:space="preserve">, находящихся в отпуске по уходу за ребенком до достижения им возраста трех лет, что к плановому показателю составило 100,0 </w:t>
      </w:r>
      <w:r w:rsidRPr="00FC637F">
        <w:rPr>
          <w:color w:val="000000"/>
          <w:sz w:val="28"/>
          <w:szCs w:val="28"/>
        </w:rPr>
        <w:lastRenderedPageBreak/>
        <w:t>процентов. Женщины обучены за счет средств республиканского бюджета на сумму 403,8 тыс. рублей.</w:t>
      </w:r>
    </w:p>
    <w:p w:rsidR="00FC637F" w:rsidRDefault="00510161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FC637F">
        <w:rPr>
          <w:color w:val="000000"/>
          <w:sz w:val="28"/>
          <w:szCs w:val="28"/>
        </w:rPr>
        <w:t>Основная доля женщин 68,6 % повысили квалификацию по специальности «1С: Бухгалтерия», в области дошкольного образования, воспитания детей и обеспечения их психологической безопасности – 8,6 %, в области делопроизводства – 7,1 % в области инновационных технологий – 5,7 %, компьютерной грамотности – 5,7 %, в области медицины – 4,3 %.</w:t>
      </w:r>
    </w:p>
    <w:p w:rsidR="00FC637F" w:rsidRDefault="00FC637F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6135B9">
        <w:rPr>
          <w:b/>
          <w:color w:val="000000"/>
          <w:sz w:val="28"/>
          <w:szCs w:val="28"/>
        </w:rPr>
        <w:t>В 2014 году</w:t>
      </w:r>
      <w:r w:rsidRPr="00FC637F">
        <w:rPr>
          <w:color w:val="000000"/>
          <w:sz w:val="28"/>
          <w:szCs w:val="28"/>
        </w:rPr>
        <w:t xml:space="preserve"> профессиональное обучение и дополнительное профессиональное образование прошли 120 женщин, находящихся в отпуске по уходу за ребенком до достижения им возраста трех лет, что больше уровня 2013 года на 71,4% (2013 г.- 70 чел.).</w:t>
      </w:r>
    </w:p>
    <w:p w:rsidR="00FC637F" w:rsidRDefault="00FC637F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FC637F">
        <w:rPr>
          <w:color w:val="000000"/>
          <w:sz w:val="28"/>
          <w:szCs w:val="28"/>
        </w:rPr>
        <w:t>Женщины повысили свою квалификацию на краткосрочных курсах по 23 специальностям, самыми востребованными из которых оказались: «Введение бухгалтерского учета в программе «1С: Бухгалтерия», «Бухгалтер малого предприятия с ведением бухгалтерского учета в программе «1С: Бухгалтерия»» и «Основы компьютерной грамотности».</w:t>
      </w:r>
    </w:p>
    <w:p w:rsidR="00FC637F" w:rsidRDefault="00FC637F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FC637F">
        <w:rPr>
          <w:color w:val="000000"/>
          <w:sz w:val="28"/>
          <w:szCs w:val="28"/>
        </w:rPr>
        <w:t>Финансирование мероприятия проводилось из республиканского бюджета. В 2014 году произведена оплата обучения женщин на сумму 612,3 тыс. рублей, что составило 168,7% к 2013 году.</w:t>
      </w:r>
    </w:p>
    <w:p w:rsidR="00FC637F" w:rsidRDefault="00FC637F" w:rsidP="00FC637F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6135B9">
        <w:rPr>
          <w:b/>
          <w:color w:val="000000"/>
          <w:sz w:val="28"/>
          <w:szCs w:val="28"/>
        </w:rPr>
        <w:t>В 2015 году</w:t>
      </w:r>
      <w:r w:rsidRPr="00FC637F">
        <w:rPr>
          <w:color w:val="000000"/>
          <w:sz w:val="28"/>
          <w:szCs w:val="28"/>
        </w:rPr>
        <w:t xml:space="preserve"> организовано профессиональное обучение 120 женщин, находящихся в отпуске по уходу за ребенком до достижения им возраста трех лет и состоящих в трудовых отношениях с работодателями, что составляет 100% от плановых показателей (120 чел). Плановые показатели выполнили на 100% все органы службы занятости населения в </w:t>
      </w:r>
      <w:proofErr w:type="spellStart"/>
      <w:r w:rsidRPr="00FC637F">
        <w:rPr>
          <w:color w:val="000000"/>
          <w:sz w:val="28"/>
          <w:szCs w:val="28"/>
        </w:rPr>
        <w:t>кожуунах</w:t>
      </w:r>
      <w:proofErr w:type="spellEnd"/>
      <w:r w:rsidRPr="00FC637F">
        <w:rPr>
          <w:color w:val="000000"/>
          <w:sz w:val="28"/>
          <w:szCs w:val="28"/>
        </w:rPr>
        <w:t>.</w:t>
      </w:r>
    </w:p>
    <w:p w:rsidR="006135B9" w:rsidRDefault="00FC637F" w:rsidP="006135B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FC637F">
        <w:rPr>
          <w:color w:val="000000"/>
          <w:sz w:val="28"/>
          <w:szCs w:val="28"/>
        </w:rPr>
        <w:t>Всего на эти цели из республиканского бюджета направлено 646,9 тыс. рублей.</w:t>
      </w:r>
    </w:p>
    <w:p w:rsidR="006135B9" w:rsidRDefault="00FC637F" w:rsidP="006135B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6135B9">
        <w:rPr>
          <w:b/>
          <w:color w:val="000000"/>
          <w:sz w:val="28"/>
          <w:szCs w:val="28"/>
        </w:rPr>
        <w:t>В 2016 году</w:t>
      </w:r>
      <w:r w:rsidRPr="00FC637F">
        <w:rPr>
          <w:color w:val="000000"/>
          <w:sz w:val="28"/>
          <w:szCs w:val="28"/>
        </w:rPr>
        <w:t xml:space="preserve"> обучено 120 женщин, состоящих в трудовых отношениях с работодателями, что составило 100% от плана и осталось на уровне 2015 года.</w:t>
      </w:r>
    </w:p>
    <w:p w:rsidR="006135B9" w:rsidRDefault="00FC637F" w:rsidP="006135B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  <w:r w:rsidRPr="00FC637F">
        <w:rPr>
          <w:color w:val="000000"/>
          <w:sz w:val="28"/>
          <w:szCs w:val="28"/>
        </w:rPr>
        <w:t>Всего за обучение женщин учебным заведениям республики оплачено из республиканского бюджета 401,2 тыс. рублей.</w:t>
      </w:r>
    </w:p>
    <w:p w:rsidR="005658E9" w:rsidRDefault="005658E9" w:rsidP="005658E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ind w:firstLine="567"/>
        <w:jc w:val="both"/>
        <w:outlineLvl w:val="0"/>
        <w:rPr>
          <w:sz w:val="28"/>
          <w:szCs w:val="28"/>
          <w:lang w:bidi="ru-RU"/>
        </w:rPr>
      </w:pPr>
      <w:r w:rsidRPr="009C1D2A">
        <w:rPr>
          <w:b/>
          <w:color w:val="000000"/>
          <w:sz w:val="28"/>
          <w:szCs w:val="28"/>
        </w:rPr>
        <w:t>В 2017 году</w:t>
      </w:r>
      <w:r w:rsidRPr="0083126D">
        <w:rPr>
          <w:color w:val="000000"/>
          <w:sz w:val="28"/>
          <w:szCs w:val="28"/>
        </w:rPr>
        <w:t xml:space="preserve"> обучение </w:t>
      </w:r>
      <w:r>
        <w:rPr>
          <w:color w:val="000000"/>
          <w:sz w:val="28"/>
          <w:szCs w:val="28"/>
        </w:rPr>
        <w:t>прошли</w:t>
      </w:r>
      <w:r w:rsidRPr="0083126D">
        <w:rPr>
          <w:color w:val="000000"/>
          <w:sz w:val="28"/>
          <w:szCs w:val="28"/>
        </w:rPr>
        <w:t xml:space="preserve"> </w:t>
      </w:r>
      <w:r w:rsidRPr="009C1D2A">
        <w:rPr>
          <w:color w:val="000000"/>
          <w:sz w:val="28"/>
          <w:szCs w:val="28"/>
        </w:rPr>
        <w:t>121 женщина</w:t>
      </w:r>
      <w:r w:rsidRPr="0083126D">
        <w:rPr>
          <w:color w:val="000000"/>
          <w:sz w:val="28"/>
          <w:szCs w:val="28"/>
        </w:rPr>
        <w:t xml:space="preserve"> </w:t>
      </w:r>
      <w:r w:rsidR="009C1D2A">
        <w:rPr>
          <w:color w:val="000000"/>
          <w:sz w:val="28"/>
          <w:szCs w:val="28"/>
        </w:rPr>
        <w:t xml:space="preserve">или </w:t>
      </w:r>
      <w:r w:rsidR="009C1D2A" w:rsidRPr="009C1D2A">
        <w:rPr>
          <w:color w:val="000000"/>
          <w:sz w:val="28"/>
          <w:szCs w:val="28"/>
        </w:rPr>
        <w:t>101 % от плановых показателей 2017 года</w:t>
      </w:r>
      <w:r w:rsidR="009C1D2A" w:rsidRPr="002D4EC9">
        <w:rPr>
          <w:color w:val="000000"/>
          <w:sz w:val="28"/>
          <w:szCs w:val="28"/>
        </w:rPr>
        <w:t xml:space="preserve"> и </w:t>
      </w:r>
      <w:r w:rsidR="009C1D2A">
        <w:rPr>
          <w:color w:val="000000"/>
          <w:sz w:val="28"/>
          <w:szCs w:val="28"/>
        </w:rPr>
        <w:t>уровня</w:t>
      </w:r>
      <w:r w:rsidR="009C1D2A" w:rsidRPr="002D4EC9">
        <w:rPr>
          <w:color w:val="000000"/>
          <w:sz w:val="28"/>
          <w:szCs w:val="28"/>
        </w:rPr>
        <w:t xml:space="preserve"> 2016 года</w:t>
      </w:r>
      <w:r w:rsidR="009C1D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C1D2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 них </w:t>
      </w:r>
      <w:r w:rsidRPr="0083126D">
        <w:rPr>
          <w:color w:val="000000"/>
          <w:sz w:val="28"/>
          <w:szCs w:val="28"/>
        </w:rPr>
        <w:t>повышение квалификации по имеющейся специальности</w:t>
      </w:r>
      <w:r>
        <w:rPr>
          <w:color w:val="000000"/>
          <w:sz w:val="28"/>
          <w:szCs w:val="28"/>
        </w:rPr>
        <w:t xml:space="preserve"> прошли 98 женщин и </w:t>
      </w:r>
      <w:r w:rsidRPr="0083126D">
        <w:rPr>
          <w:color w:val="000000"/>
          <w:sz w:val="28"/>
          <w:szCs w:val="28"/>
        </w:rPr>
        <w:t>переквалификаци</w:t>
      </w:r>
      <w:r>
        <w:rPr>
          <w:color w:val="000000"/>
          <w:sz w:val="28"/>
          <w:szCs w:val="28"/>
        </w:rPr>
        <w:t>ю</w:t>
      </w:r>
      <w:r w:rsidRPr="0083126D">
        <w:rPr>
          <w:color w:val="000000"/>
          <w:sz w:val="28"/>
          <w:szCs w:val="28"/>
        </w:rPr>
        <w:t xml:space="preserve"> на другую специальность</w:t>
      </w:r>
      <w:r>
        <w:rPr>
          <w:color w:val="000000"/>
          <w:sz w:val="28"/>
          <w:szCs w:val="28"/>
        </w:rPr>
        <w:t xml:space="preserve"> – 23 женщины.</w:t>
      </w:r>
      <w:r w:rsidRPr="002D4EC9">
        <w:rPr>
          <w:color w:val="000000"/>
          <w:sz w:val="28"/>
          <w:szCs w:val="28"/>
        </w:rPr>
        <w:t xml:space="preserve">  </w:t>
      </w:r>
      <w:r w:rsidRPr="000859E2">
        <w:rPr>
          <w:sz w:val="28"/>
          <w:szCs w:val="28"/>
          <w:lang w:bidi="ru-RU"/>
        </w:rPr>
        <w:t xml:space="preserve">На реализацию данного мероприятия </w:t>
      </w:r>
      <w:r>
        <w:rPr>
          <w:sz w:val="28"/>
          <w:szCs w:val="28"/>
          <w:lang w:bidi="ru-RU"/>
        </w:rPr>
        <w:t xml:space="preserve">за счет республиканского бюджета в рамках государственной программы Труд и занятость на 2017 -2019 годы» </w:t>
      </w:r>
      <w:r w:rsidRPr="000859E2">
        <w:rPr>
          <w:sz w:val="28"/>
          <w:szCs w:val="28"/>
          <w:lang w:bidi="ru-RU"/>
        </w:rPr>
        <w:t>профинансировано 970,6 тыс. рублей.</w:t>
      </w:r>
    </w:p>
    <w:p w:rsidR="009C1D2A" w:rsidRDefault="009C1D2A" w:rsidP="009C1D2A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ind w:firstLine="567"/>
        <w:jc w:val="both"/>
        <w:outlineLvl w:val="0"/>
        <w:rPr>
          <w:sz w:val="28"/>
          <w:szCs w:val="28"/>
          <w:lang w:bidi="ru-RU"/>
        </w:rPr>
      </w:pPr>
      <w:r w:rsidRPr="009C1D2A">
        <w:rPr>
          <w:color w:val="000000"/>
          <w:sz w:val="28"/>
          <w:szCs w:val="28"/>
          <w:lang w:bidi="ru-RU"/>
        </w:rPr>
        <w:t xml:space="preserve">Всего </w:t>
      </w:r>
      <w:r w:rsidRPr="009C1D2A">
        <w:rPr>
          <w:b/>
          <w:color w:val="000000"/>
          <w:sz w:val="28"/>
          <w:szCs w:val="28"/>
          <w:lang w:bidi="ru-RU"/>
        </w:rPr>
        <w:t>за  2018 год</w:t>
      </w:r>
      <w:r w:rsidRPr="009C1D2A">
        <w:rPr>
          <w:color w:val="000000"/>
          <w:sz w:val="28"/>
          <w:szCs w:val="28"/>
          <w:lang w:bidi="ru-RU"/>
        </w:rPr>
        <w:t xml:space="preserve"> обучение прошли 123 женщин, находящихся в отпуске по уходу за ребенком или 102,5% от плановых показателей. </w:t>
      </w:r>
      <w:r w:rsidRPr="009C1D2A">
        <w:rPr>
          <w:sz w:val="28"/>
          <w:szCs w:val="28"/>
          <w:lang w:bidi="ru-RU"/>
        </w:rPr>
        <w:t>На реализацию данного мероприятия за счет республиканского бюджета в рамках государственной программы Труд и занятость на 2017 -2019 годы» профинансировано 960,0 тыс. рублей.</w:t>
      </w:r>
    </w:p>
    <w:p w:rsidR="00C074EB" w:rsidRPr="00C074EB" w:rsidRDefault="00C074EB" w:rsidP="009C1D2A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ind w:firstLine="567"/>
        <w:jc w:val="both"/>
        <w:outlineLvl w:val="0"/>
        <w:rPr>
          <w:sz w:val="28"/>
          <w:szCs w:val="28"/>
          <w:lang w:bidi="ru-RU"/>
        </w:rPr>
      </w:pPr>
      <w:r w:rsidRPr="00C074EB">
        <w:rPr>
          <w:color w:val="000000"/>
          <w:sz w:val="28"/>
          <w:szCs w:val="28"/>
          <w:lang w:bidi="ru-RU"/>
        </w:rPr>
        <w:t xml:space="preserve">За </w:t>
      </w:r>
      <w:r w:rsidR="00297B12">
        <w:rPr>
          <w:b/>
          <w:color w:val="000000"/>
          <w:sz w:val="28"/>
          <w:szCs w:val="28"/>
          <w:lang w:bidi="ru-RU"/>
        </w:rPr>
        <w:t>январь-июнь</w:t>
      </w:r>
      <w:r w:rsidRPr="00C074EB">
        <w:rPr>
          <w:b/>
          <w:color w:val="000000"/>
          <w:sz w:val="28"/>
          <w:szCs w:val="28"/>
          <w:lang w:bidi="ru-RU"/>
        </w:rPr>
        <w:t xml:space="preserve"> 2019 года</w:t>
      </w:r>
      <w:r w:rsidRPr="00C074EB">
        <w:rPr>
          <w:color w:val="000000"/>
          <w:sz w:val="28"/>
          <w:szCs w:val="28"/>
          <w:lang w:bidi="ru-RU"/>
        </w:rPr>
        <w:t xml:space="preserve"> направлено на профессиональное обучение всего </w:t>
      </w:r>
      <w:r w:rsidR="00297B12">
        <w:rPr>
          <w:color w:val="000000"/>
          <w:sz w:val="28"/>
          <w:szCs w:val="28"/>
          <w:lang w:bidi="ru-RU"/>
        </w:rPr>
        <w:t>48</w:t>
      </w:r>
      <w:r w:rsidRPr="00C074EB">
        <w:rPr>
          <w:color w:val="000000"/>
          <w:sz w:val="28"/>
          <w:szCs w:val="28"/>
          <w:lang w:bidi="ru-RU"/>
        </w:rPr>
        <w:t xml:space="preserve"> женщин, находящихся в отпуске по уходу за ребенком или </w:t>
      </w:r>
      <w:r w:rsidR="00297B12">
        <w:rPr>
          <w:color w:val="000000"/>
          <w:sz w:val="28"/>
          <w:szCs w:val="28"/>
          <w:lang w:bidi="ru-RU"/>
        </w:rPr>
        <w:t>40</w:t>
      </w:r>
      <w:r w:rsidRPr="00C074EB">
        <w:rPr>
          <w:color w:val="000000"/>
          <w:sz w:val="28"/>
          <w:szCs w:val="28"/>
          <w:lang w:bidi="ru-RU"/>
        </w:rPr>
        <w:t xml:space="preserve">% от плановых показателей (120 женщин). Женщины направлены на </w:t>
      </w:r>
      <w:proofErr w:type="gramStart"/>
      <w:r w:rsidRPr="00C074EB">
        <w:rPr>
          <w:color w:val="000000"/>
          <w:sz w:val="28"/>
          <w:szCs w:val="28"/>
          <w:lang w:bidi="ru-RU"/>
        </w:rPr>
        <w:t>обучение по</w:t>
      </w:r>
      <w:proofErr w:type="gramEnd"/>
      <w:r w:rsidRPr="00C074EB">
        <w:rPr>
          <w:color w:val="000000"/>
          <w:sz w:val="28"/>
          <w:szCs w:val="28"/>
          <w:lang w:bidi="ru-RU"/>
        </w:rPr>
        <w:t xml:space="preserve"> следующим специальностям: «Пользователь программы </w:t>
      </w:r>
      <w:r w:rsidRPr="00C074EB">
        <w:rPr>
          <w:color w:val="000000"/>
          <w:sz w:val="28"/>
          <w:szCs w:val="28"/>
          <w:lang w:eastAsia="en-US" w:bidi="en-US"/>
        </w:rPr>
        <w:t>1</w:t>
      </w:r>
      <w:r w:rsidRPr="00C074EB">
        <w:rPr>
          <w:color w:val="000000"/>
          <w:sz w:val="28"/>
          <w:szCs w:val="28"/>
          <w:lang w:val="en-US" w:eastAsia="en-US" w:bidi="en-US"/>
        </w:rPr>
        <w:t>C</w:t>
      </w:r>
      <w:r w:rsidRPr="00C074EB">
        <w:rPr>
          <w:color w:val="000000"/>
          <w:sz w:val="28"/>
          <w:szCs w:val="28"/>
          <w:lang w:eastAsia="en-US" w:bidi="en-US"/>
        </w:rPr>
        <w:t xml:space="preserve">: </w:t>
      </w:r>
      <w:r w:rsidRPr="00C074EB">
        <w:rPr>
          <w:color w:val="000000"/>
          <w:sz w:val="28"/>
          <w:szCs w:val="28"/>
          <w:lang w:bidi="ru-RU"/>
        </w:rPr>
        <w:t>Бухгалтерия», «Медицинская сестра», «Управление государственными и</w:t>
      </w:r>
      <w:r w:rsidRPr="00C074EB">
        <w:rPr>
          <w:sz w:val="28"/>
          <w:szCs w:val="28"/>
        </w:rPr>
        <w:t xml:space="preserve"> </w:t>
      </w:r>
      <w:r w:rsidRPr="00C074EB">
        <w:rPr>
          <w:color w:val="000000"/>
          <w:sz w:val="28"/>
          <w:szCs w:val="28"/>
          <w:lang w:bidi="ru-RU"/>
        </w:rPr>
        <w:t xml:space="preserve">муниципальными </w:t>
      </w:r>
      <w:r w:rsidRPr="00C074EB">
        <w:rPr>
          <w:color w:val="000000"/>
          <w:sz w:val="28"/>
          <w:szCs w:val="28"/>
          <w:lang w:bidi="ru-RU"/>
        </w:rPr>
        <w:lastRenderedPageBreak/>
        <w:t>закупками», «Массажист», «Мастер ногтевого сервиса», «Повар-кондитер», «Сестринское дело в педиатрии», «Наладчик компьютерных систем».</w:t>
      </w:r>
    </w:p>
    <w:p w:rsidR="00654063" w:rsidRPr="00654063" w:rsidRDefault="00654063" w:rsidP="00654063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54063">
        <w:rPr>
          <w:color w:val="000000"/>
          <w:sz w:val="28"/>
          <w:szCs w:val="28"/>
          <w:lang w:bidi="ru-RU"/>
        </w:rPr>
        <w:t>Информация о предоставлении государственной услуги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 размещена на сайте и в социальной сети Министерства труда и социальной политики Республики Тыва. Также специалистами центров занятости населения республики проводятся ежемесячное формирование перечня женщин, находящихся в отпуске по уходу за ребенком до достижения им возраста трех лет, направляются запросы в адрес работодателей. Осуществляют выезды в места проживания для оказания содействия по размещению ребенка в ясли сад или найма няни и организации работы по заключению договора с образовательным учреждением.</w:t>
      </w:r>
    </w:p>
    <w:p w:rsidR="009C1D2A" w:rsidRPr="009C1D2A" w:rsidRDefault="009C1D2A" w:rsidP="00C074EB">
      <w:pPr>
        <w:ind w:firstLine="709"/>
        <w:jc w:val="both"/>
        <w:rPr>
          <w:sz w:val="28"/>
          <w:szCs w:val="28"/>
        </w:rPr>
      </w:pPr>
      <w:r w:rsidRPr="009C1D2A">
        <w:rPr>
          <w:sz w:val="28"/>
          <w:szCs w:val="28"/>
        </w:rPr>
        <w:t>Таким образом, для исполнения Указа Президента Российской Федерации проводятся мероприятия, обеспечивая публичность и доступность получения государственных услуг для женщин, находящихся</w:t>
      </w:r>
      <w:bookmarkStart w:id="0" w:name="_GoBack"/>
      <w:bookmarkEnd w:id="0"/>
      <w:r w:rsidRPr="009C1D2A">
        <w:rPr>
          <w:sz w:val="28"/>
          <w:szCs w:val="28"/>
        </w:rPr>
        <w:t xml:space="preserve"> в отпуске по уходу за ребенком до достижения им возраста 3 лет тем самым, предотвращая трудности при возвращении на прежнее место работы.</w:t>
      </w:r>
    </w:p>
    <w:p w:rsidR="006135B9" w:rsidRDefault="006135B9" w:rsidP="006135B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</w:p>
    <w:p w:rsidR="00BA15FC" w:rsidRDefault="00BA15FC" w:rsidP="006135B9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ind w:firstLine="567"/>
        <w:jc w:val="both"/>
        <w:outlineLvl w:val="0"/>
        <w:rPr>
          <w:color w:val="000000"/>
          <w:sz w:val="28"/>
          <w:szCs w:val="28"/>
        </w:rPr>
      </w:pPr>
    </w:p>
    <w:p w:rsidR="00BA15FC" w:rsidRDefault="00BA15FC" w:rsidP="007B0C9E">
      <w:pPr>
        <w:widowControl w:val="0"/>
        <w:pBdr>
          <w:bottom w:val="single" w:sz="4" w:space="10" w:color="FFFFFF"/>
        </w:pBdr>
        <w:shd w:val="clear" w:color="auto" w:fill="FFFFFF"/>
        <w:tabs>
          <w:tab w:val="num" w:pos="0"/>
        </w:tabs>
        <w:suppressAutoHyphens/>
        <w:jc w:val="both"/>
        <w:outlineLvl w:val="0"/>
        <w:rPr>
          <w:color w:val="000000"/>
          <w:sz w:val="28"/>
          <w:szCs w:val="28"/>
        </w:rPr>
      </w:pPr>
    </w:p>
    <w:sectPr w:rsidR="00BA15FC" w:rsidSect="00D8111E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D2" w:rsidRDefault="00071BD2" w:rsidP="00A227E9">
      <w:r>
        <w:separator/>
      </w:r>
    </w:p>
  </w:endnote>
  <w:endnote w:type="continuationSeparator" w:id="0">
    <w:p w:rsidR="00071BD2" w:rsidRDefault="00071BD2" w:rsidP="00A2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D2" w:rsidRDefault="00071BD2" w:rsidP="00A227E9">
      <w:r>
        <w:separator/>
      </w:r>
    </w:p>
  </w:footnote>
  <w:footnote w:type="continuationSeparator" w:id="0">
    <w:p w:rsidR="00071BD2" w:rsidRDefault="00071BD2" w:rsidP="00A2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5"/>
    <w:rsid w:val="00002202"/>
    <w:rsid w:val="000038CE"/>
    <w:rsid w:val="000078AA"/>
    <w:rsid w:val="00071BD2"/>
    <w:rsid w:val="000F6AA2"/>
    <w:rsid w:val="00132374"/>
    <w:rsid w:val="00152F8A"/>
    <w:rsid w:val="001533F4"/>
    <w:rsid w:val="00154619"/>
    <w:rsid w:val="00186A66"/>
    <w:rsid w:val="001C25AC"/>
    <w:rsid w:val="00297B12"/>
    <w:rsid w:val="002A4A8D"/>
    <w:rsid w:val="002C705E"/>
    <w:rsid w:val="00380829"/>
    <w:rsid w:val="003A69B2"/>
    <w:rsid w:val="003E270C"/>
    <w:rsid w:val="00406B01"/>
    <w:rsid w:val="00406DF7"/>
    <w:rsid w:val="004279C9"/>
    <w:rsid w:val="00435A0D"/>
    <w:rsid w:val="00440A1E"/>
    <w:rsid w:val="004523D5"/>
    <w:rsid w:val="00455AAA"/>
    <w:rsid w:val="00481C46"/>
    <w:rsid w:val="0048291B"/>
    <w:rsid w:val="00510161"/>
    <w:rsid w:val="00542323"/>
    <w:rsid w:val="00565143"/>
    <w:rsid w:val="005658E9"/>
    <w:rsid w:val="005A1D5D"/>
    <w:rsid w:val="00600B8A"/>
    <w:rsid w:val="006135B9"/>
    <w:rsid w:val="00626A6B"/>
    <w:rsid w:val="00654063"/>
    <w:rsid w:val="00664EE5"/>
    <w:rsid w:val="006D1C71"/>
    <w:rsid w:val="006F0F2A"/>
    <w:rsid w:val="006F648E"/>
    <w:rsid w:val="007A227B"/>
    <w:rsid w:val="007B0C9E"/>
    <w:rsid w:val="00853D5E"/>
    <w:rsid w:val="008830BF"/>
    <w:rsid w:val="00883DE3"/>
    <w:rsid w:val="009004E5"/>
    <w:rsid w:val="009222B2"/>
    <w:rsid w:val="00957151"/>
    <w:rsid w:val="009776FB"/>
    <w:rsid w:val="00984299"/>
    <w:rsid w:val="00987098"/>
    <w:rsid w:val="009C1D2A"/>
    <w:rsid w:val="00A227E9"/>
    <w:rsid w:val="00AA5E0E"/>
    <w:rsid w:val="00AB4425"/>
    <w:rsid w:val="00B07D4D"/>
    <w:rsid w:val="00B630CC"/>
    <w:rsid w:val="00B75F55"/>
    <w:rsid w:val="00BA15FC"/>
    <w:rsid w:val="00BA48EE"/>
    <w:rsid w:val="00BA5368"/>
    <w:rsid w:val="00BE1B4A"/>
    <w:rsid w:val="00C074EB"/>
    <w:rsid w:val="00C13074"/>
    <w:rsid w:val="00C25DA9"/>
    <w:rsid w:val="00C80FB7"/>
    <w:rsid w:val="00C94BEC"/>
    <w:rsid w:val="00D8111E"/>
    <w:rsid w:val="00DD074A"/>
    <w:rsid w:val="00DD1432"/>
    <w:rsid w:val="00DE7871"/>
    <w:rsid w:val="00E4713F"/>
    <w:rsid w:val="00E87AF6"/>
    <w:rsid w:val="00EA5B92"/>
    <w:rsid w:val="00EC71A2"/>
    <w:rsid w:val="00EE1BDE"/>
    <w:rsid w:val="00F2123E"/>
    <w:rsid w:val="00F23354"/>
    <w:rsid w:val="00F40305"/>
    <w:rsid w:val="00F827A0"/>
    <w:rsid w:val="00F92CEF"/>
    <w:rsid w:val="00FC637F"/>
    <w:rsid w:val="00FE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5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7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F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5F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75F5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B75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2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22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2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1016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(2)"/>
    <w:basedOn w:val="a"/>
    <w:rsid w:val="009C1D2A"/>
    <w:pPr>
      <w:widowControl w:val="0"/>
      <w:shd w:val="clear" w:color="auto" w:fill="FFFFFF"/>
      <w:suppressAutoHyphens/>
      <w:spacing w:after="60" w:line="240" w:lineRule="atLeast"/>
      <w:jc w:val="center"/>
    </w:pPr>
    <w:rPr>
      <w:b/>
      <w:bCs/>
      <w:sz w:val="27"/>
      <w:szCs w:val="27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F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5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75F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F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5F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75F5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rsid w:val="00B75F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2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A22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2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1016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(2)"/>
    <w:basedOn w:val="a"/>
    <w:rsid w:val="009C1D2A"/>
    <w:pPr>
      <w:widowControl w:val="0"/>
      <w:shd w:val="clear" w:color="auto" w:fill="FFFFFF"/>
      <w:suppressAutoHyphens/>
      <w:spacing w:after="60" w:line="240" w:lineRule="atLeast"/>
      <w:jc w:val="center"/>
    </w:pPr>
    <w:rPr>
      <w:b/>
      <w:bCs/>
      <w:sz w:val="27"/>
      <w:szCs w:val="2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41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5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Горяинова</dc:creator>
  <cp:lastModifiedBy>Rudolf</cp:lastModifiedBy>
  <cp:revision>2</cp:revision>
  <cp:lastPrinted>2017-05-19T08:27:00Z</cp:lastPrinted>
  <dcterms:created xsi:type="dcterms:W3CDTF">2019-07-08T07:15:00Z</dcterms:created>
  <dcterms:modified xsi:type="dcterms:W3CDTF">2019-07-08T07:15:00Z</dcterms:modified>
</cp:coreProperties>
</file>